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495B0" w14:textId="188D6030" w:rsidR="00BF5CA9" w:rsidRDefault="00000000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辽宁大学2023年全国硕士研究生招生考试</w:t>
      </w:r>
      <w:proofErr w:type="gramStart"/>
      <w:r>
        <w:rPr>
          <w:rFonts w:ascii="宋体" w:eastAsia="宋体" w:hAnsi="宋体" w:hint="eastAsia"/>
          <w:b/>
          <w:sz w:val="28"/>
          <w:szCs w:val="28"/>
        </w:rPr>
        <w:t>初试自</w:t>
      </w:r>
      <w:proofErr w:type="gramEnd"/>
      <w:r>
        <w:rPr>
          <w:rFonts w:ascii="宋体" w:eastAsia="宋体" w:hAnsi="宋体" w:hint="eastAsia"/>
          <w:b/>
          <w:sz w:val="28"/>
          <w:szCs w:val="28"/>
        </w:rPr>
        <w:t>命题科目考试大纲</w:t>
      </w:r>
    </w:p>
    <w:p w14:paraId="553F802A" w14:textId="646A0119" w:rsidR="00BF5CA9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823             </w:t>
      </w:r>
    </w:p>
    <w:p w14:paraId="0024B596" w14:textId="68E0F113" w:rsidR="00BF5CA9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科目名称：经济学原理</w:t>
      </w:r>
    </w:p>
    <w:p w14:paraId="1B56E54E" w14:textId="77777777" w:rsidR="00BF5CA9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6FA7A273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需求、供给与均衡价格</w:t>
      </w:r>
    </w:p>
    <w:p w14:paraId="0D0FF816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1.1 需求和需求的变动</w:t>
      </w:r>
    </w:p>
    <w:p w14:paraId="38AD2375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1.2 供给和供给的变动</w:t>
      </w:r>
    </w:p>
    <w:p w14:paraId="65361392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1.3 需求和供给的弹性理论</w:t>
      </w:r>
    </w:p>
    <w:p w14:paraId="6699C099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1.4 均衡价格</w:t>
      </w:r>
    </w:p>
    <w:p w14:paraId="337E9163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1.5 蛛网模型</w:t>
      </w:r>
    </w:p>
    <w:p w14:paraId="199C5AB5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 消费者行为理论</w:t>
      </w:r>
    </w:p>
    <w:p w14:paraId="1E50A022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2.1 基数效用论</w:t>
      </w:r>
    </w:p>
    <w:p w14:paraId="161BEBAE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2.2 序数效用论</w:t>
      </w:r>
    </w:p>
    <w:p w14:paraId="482D35F2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2.3 </w:t>
      </w:r>
      <w:proofErr w:type="gramStart"/>
      <w:r>
        <w:rPr>
          <w:rFonts w:ascii="宋体" w:eastAsia="宋体" w:hAnsi="宋体" w:hint="eastAsia"/>
          <w:sz w:val="28"/>
          <w:szCs w:val="28"/>
        </w:rPr>
        <w:t>跨时期</w:t>
      </w:r>
      <w:proofErr w:type="gramEnd"/>
      <w:r>
        <w:rPr>
          <w:rFonts w:ascii="宋体" w:eastAsia="宋体" w:hAnsi="宋体" w:hint="eastAsia"/>
          <w:sz w:val="28"/>
          <w:szCs w:val="28"/>
        </w:rPr>
        <w:t>选择</w:t>
      </w:r>
    </w:p>
    <w:p w14:paraId="097B668D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2.4 不确定情况下的消费者行为</w:t>
      </w:r>
    </w:p>
    <w:p w14:paraId="5E19D655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 企业和生产理论</w:t>
      </w:r>
    </w:p>
    <w:p w14:paraId="2040740A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3.1 企业及其目标</w:t>
      </w:r>
    </w:p>
    <w:p w14:paraId="63B07275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3.2 生产函数</w:t>
      </w:r>
    </w:p>
    <w:p w14:paraId="0323CFA5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3.3 短期生产函数</w:t>
      </w:r>
    </w:p>
    <w:p w14:paraId="0FE197F4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3.4 长期生产函数</w:t>
      </w:r>
    </w:p>
    <w:p w14:paraId="5C8F2928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3.5 规模报酬</w:t>
      </w:r>
    </w:p>
    <w:p w14:paraId="7B2AD93E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 成本理论</w:t>
      </w:r>
    </w:p>
    <w:p w14:paraId="35DD0713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4.1成本和成本函数</w:t>
      </w:r>
    </w:p>
    <w:p w14:paraId="7B653EF0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4.2 短期成本</w:t>
      </w:r>
    </w:p>
    <w:p w14:paraId="762C71A0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4.3 长期成本</w:t>
      </w:r>
    </w:p>
    <w:p w14:paraId="220FEB75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 完全竞争和完全垄断市场中价格和产量的决定</w:t>
      </w:r>
    </w:p>
    <w:p w14:paraId="57C8A35F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5.1 厂商行为概述</w:t>
      </w:r>
    </w:p>
    <w:p w14:paraId="4730525F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5.2 完全竞争市场中价格和产量的决定</w:t>
      </w:r>
    </w:p>
    <w:p w14:paraId="23D4DEB4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5.3 完全垄断市场中价格和产量的决定</w:t>
      </w:r>
    </w:p>
    <w:p w14:paraId="38707137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 垄断竞争市场与寡头垄断市场中价格和产量的决定</w:t>
      </w:r>
    </w:p>
    <w:p w14:paraId="4CB40BF1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6.1 垄断竞争市场中价格和产量的决定</w:t>
      </w:r>
    </w:p>
    <w:p w14:paraId="323B08E6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6.2 寡头垄断市场中价格和产量的决定</w:t>
      </w:r>
    </w:p>
    <w:p w14:paraId="1DD12C0F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7. 要素价格与收入分配</w:t>
      </w:r>
    </w:p>
    <w:p w14:paraId="7C940061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7.1 生产要素的需求</w:t>
      </w:r>
    </w:p>
    <w:p w14:paraId="54DF8DA3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7.2 生产要素的供给和价格决定</w:t>
      </w:r>
    </w:p>
    <w:p w14:paraId="1F497E8F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7.3 贫富差别</w:t>
      </w:r>
    </w:p>
    <w:p w14:paraId="6188ED58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8. 一般均衡与福利经济学</w:t>
      </w:r>
    </w:p>
    <w:p w14:paraId="5D06280D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8.1 一般均衡</w:t>
      </w:r>
    </w:p>
    <w:p w14:paraId="503B67D1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8.2 帕累托最优</w:t>
      </w:r>
    </w:p>
    <w:p w14:paraId="120AA8C0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8.3 福利经济学</w:t>
      </w:r>
    </w:p>
    <w:p w14:paraId="3DF88FD6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9. 微观经济政策</w:t>
      </w:r>
    </w:p>
    <w:p w14:paraId="03B2E687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9.1 垄断和反垄断政策</w:t>
      </w:r>
    </w:p>
    <w:p w14:paraId="01427E19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9.2 外部影响</w:t>
      </w:r>
    </w:p>
    <w:p w14:paraId="6EEC2945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9.3 公共物品</w:t>
      </w:r>
    </w:p>
    <w:p w14:paraId="74F83200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9.4 公共选择</w:t>
      </w:r>
    </w:p>
    <w:p w14:paraId="70A331FE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10. 国民收入的决定：收入</w:t>
      </w:r>
      <w:proofErr w:type="gramStart"/>
      <w:r>
        <w:rPr>
          <w:rFonts w:ascii="宋体" w:eastAsia="宋体" w:hAnsi="宋体" w:hint="eastAsia"/>
          <w:sz w:val="28"/>
          <w:szCs w:val="28"/>
        </w:rPr>
        <w:t>一</w:t>
      </w:r>
      <w:proofErr w:type="gramEnd"/>
      <w:r>
        <w:rPr>
          <w:rFonts w:ascii="宋体" w:eastAsia="宋体" w:hAnsi="宋体" w:hint="eastAsia"/>
          <w:sz w:val="28"/>
          <w:szCs w:val="28"/>
        </w:rPr>
        <w:t>支出模型</w:t>
      </w:r>
    </w:p>
    <w:p w14:paraId="3FC1D130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10.1 宏观均衡的概念</w:t>
      </w:r>
    </w:p>
    <w:p w14:paraId="0982F848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10.2 消费函数</w:t>
      </w:r>
    </w:p>
    <w:p w14:paraId="007B8D78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10.3 两部门经济中国民收入的决定</w:t>
      </w:r>
    </w:p>
    <w:p w14:paraId="1EEEE79F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10.4 三部门和四部门经济中国民收入的决定</w:t>
      </w:r>
    </w:p>
    <w:p w14:paraId="4E388CFD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10.5 潜在国民收入与缺口</w:t>
      </w:r>
    </w:p>
    <w:p w14:paraId="6A859D29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11. 货币、利率和国民收入</w:t>
      </w:r>
    </w:p>
    <w:p w14:paraId="22EB2EEC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11.1 货币和货币供给</w:t>
      </w:r>
    </w:p>
    <w:p w14:paraId="3373E555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11.2 货币需求</w:t>
      </w:r>
    </w:p>
    <w:p w14:paraId="0031C04E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11.3 利率、投资和国民收入</w:t>
      </w:r>
    </w:p>
    <w:p w14:paraId="0FAB1C52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11.4 金融市场</w:t>
      </w:r>
    </w:p>
    <w:p w14:paraId="326A412B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12. 国民收入的决定：IS-LM模型</w:t>
      </w:r>
    </w:p>
    <w:p w14:paraId="3152EC7D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12.1产品市场的均衡与IS曲线</w:t>
      </w:r>
    </w:p>
    <w:p w14:paraId="5547499B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12.2货币市场的均衡与LM曲线</w:t>
      </w:r>
    </w:p>
    <w:p w14:paraId="2ADFA31D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12.3 产品市场和货币市场的同时均衡与IS-LM模耍</w:t>
      </w:r>
    </w:p>
    <w:p w14:paraId="60816746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13. 国民收入的决定：总需求一总供给模型</w:t>
      </w:r>
    </w:p>
    <w:p w14:paraId="5F63DD2B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13.1 总需求函数</w:t>
      </w:r>
    </w:p>
    <w:p w14:paraId="15289450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13.2 总供给函数</w:t>
      </w:r>
    </w:p>
    <w:p w14:paraId="50CE84CC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13.3 总供给—总需求模型</w:t>
      </w:r>
    </w:p>
    <w:p w14:paraId="1DC967BE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14. 通货膨胀与失业</w:t>
      </w:r>
    </w:p>
    <w:p w14:paraId="529DB180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14.1 通货膨胀</w:t>
      </w:r>
    </w:p>
    <w:p w14:paraId="06AF4E4D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14.2 失业</w:t>
      </w:r>
    </w:p>
    <w:p w14:paraId="0E5B8870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14.3 通货膨胀和失业的关系</w:t>
      </w:r>
    </w:p>
    <w:p w14:paraId="688DE775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15. 财政政策和货币政策</w:t>
      </w:r>
    </w:p>
    <w:p w14:paraId="26F56B3E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15.1 财政政策及其效果</w:t>
      </w:r>
    </w:p>
    <w:p w14:paraId="301FE70A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15.2 货币政策及其效果</w:t>
      </w:r>
    </w:p>
    <w:p w14:paraId="52EF4957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15.3 财政政策和货币政策的混合</w:t>
      </w:r>
    </w:p>
    <w:p w14:paraId="40DD7F39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16. 经济增长、经济发展与经济周期</w:t>
      </w:r>
    </w:p>
    <w:p w14:paraId="0C6687C6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16.1 经济增长</w:t>
      </w:r>
    </w:p>
    <w:p w14:paraId="54737724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16.2 经济发展</w:t>
      </w:r>
    </w:p>
    <w:p w14:paraId="6CAE9377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16.3 经济周期</w:t>
      </w:r>
      <w:r>
        <w:rPr>
          <w:rFonts w:ascii="宋体" w:eastAsia="宋体" w:hAnsi="宋体" w:hint="eastAsia"/>
          <w:sz w:val="28"/>
          <w:szCs w:val="28"/>
        </w:rPr>
        <w:br/>
        <w:t xml:space="preserve">17. 劳动力需求 </w:t>
      </w:r>
      <w:r>
        <w:rPr>
          <w:rFonts w:ascii="宋体" w:eastAsia="宋体" w:hAnsi="宋体" w:hint="eastAsia"/>
          <w:sz w:val="28"/>
          <w:szCs w:val="28"/>
        </w:rPr>
        <w:br/>
        <w:t xml:space="preserve">17.1 劳动力需求概述 </w:t>
      </w:r>
      <w:r>
        <w:rPr>
          <w:rFonts w:ascii="宋体" w:eastAsia="宋体" w:hAnsi="宋体" w:hint="eastAsia"/>
          <w:sz w:val="28"/>
          <w:szCs w:val="28"/>
        </w:rPr>
        <w:br/>
        <w:t xml:space="preserve">17.2 完全竞争市场条件下的企业劳动力需求 </w:t>
      </w:r>
      <w:r>
        <w:rPr>
          <w:rFonts w:ascii="宋体" w:eastAsia="宋体" w:hAnsi="宋体" w:hint="eastAsia"/>
          <w:sz w:val="28"/>
          <w:szCs w:val="28"/>
        </w:rPr>
        <w:br/>
        <w:t xml:space="preserve">17.3 不完全竞争市场条件下的企业劳动力需求 </w:t>
      </w:r>
      <w:r>
        <w:rPr>
          <w:rFonts w:ascii="宋体" w:eastAsia="宋体" w:hAnsi="宋体" w:hint="eastAsia"/>
          <w:sz w:val="28"/>
          <w:szCs w:val="28"/>
        </w:rPr>
        <w:br/>
        <w:t xml:space="preserve">17.4 劳动力需求理论在政策上的运用 </w:t>
      </w:r>
      <w:r>
        <w:rPr>
          <w:rFonts w:ascii="宋体" w:eastAsia="宋体" w:hAnsi="宋体" w:hint="eastAsia"/>
          <w:sz w:val="28"/>
          <w:szCs w:val="28"/>
        </w:rPr>
        <w:br/>
        <w:t xml:space="preserve">18. 劳动力供给 </w:t>
      </w:r>
      <w:r>
        <w:rPr>
          <w:rFonts w:ascii="宋体" w:eastAsia="宋体" w:hAnsi="宋体" w:hint="eastAsia"/>
          <w:sz w:val="28"/>
          <w:szCs w:val="28"/>
        </w:rPr>
        <w:br/>
        <w:t xml:space="preserve">18.1 劳动力供给概述 </w:t>
      </w:r>
      <w:r>
        <w:rPr>
          <w:rFonts w:ascii="宋体" w:eastAsia="宋体" w:hAnsi="宋体" w:hint="eastAsia"/>
          <w:sz w:val="28"/>
          <w:szCs w:val="28"/>
        </w:rPr>
        <w:br/>
        <w:t xml:space="preserve">18.2 个人劳动力供给 </w:t>
      </w:r>
      <w:r>
        <w:rPr>
          <w:rFonts w:ascii="宋体" w:eastAsia="宋体" w:hAnsi="宋体" w:hint="eastAsia"/>
          <w:sz w:val="28"/>
          <w:szCs w:val="28"/>
        </w:rPr>
        <w:br/>
        <w:t xml:space="preserve">18.3 家庭劳动力供给 </w:t>
      </w:r>
      <w:r>
        <w:rPr>
          <w:rFonts w:ascii="宋体" w:eastAsia="宋体" w:hAnsi="宋体" w:hint="eastAsia"/>
          <w:sz w:val="28"/>
          <w:szCs w:val="28"/>
        </w:rPr>
        <w:br/>
        <w:t xml:space="preserve">18.4 市场劳动力供给 </w:t>
      </w:r>
      <w:r>
        <w:rPr>
          <w:rFonts w:ascii="宋体" w:eastAsia="宋体" w:hAnsi="宋体" w:hint="eastAsia"/>
          <w:sz w:val="28"/>
          <w:szCs w:val="28"/>
        </w:rPr>
        <w:br/>
        <w:t xml:space="preserve">18.5 劳动力供给理论在政策上的应用 </w:t>
      </w:r>
      <w:r>
        <w:rPr>
          <w:rFonts w:ascii="宋体" w:eastAsia="宋体" w:hAnsi="宋体" w:hint="eastAsia"/>
          <w:sz w:val="28"/>
          <w:szCs w:val="28"/>
        </w:rPr>
        <w:br/>
        <w:t xml:space="preserve">19. 工资与福利 </w:t>
      </w:r>
    </w:p>
    <w:p w14:paraId="005C31F2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19.1工资与福利概述</w:t>
      </w:r>
    </w:p>
    <w:p w14:paraId="6BF4D22D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19.2工资理论</w:t>
      </w:r>
    </w:p>
    <w:p w14:paraId="2A2FEA35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19.3工资水平</w:t>
      </w:r>
    </w:p>
    <w:p w14:paraId="0B38BDA9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19.4工资差别</w:t>
      </w:r>
    </w:p>
    <w:p w14:paraId="1AD0BE09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19.5员工福利</w:t>
      </w:r>
    </w:p>
    <w:p w14:paraId="5517173D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20. 人力资本投资 </w:t>
      </w:r>
    </w:p>
    <w:p w14:paraId="71E3734C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20.1人力资本投资概述</w:t>
      </w:r>
    </w:p>
    <w:p w14:paraId="3DCB1947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20.2教育投资分析</w:t>
      </w:r>
    </w:p>
    <w:p w14:paraId="33959D93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20.3在职培训分析</w:t>
      </w:r>
      <w:r>
        <w:rPr>
          <w:rFonts w:ascii="宋体" w:eastAsia="宋体" w:hAnsi="宋体" w:hint="eastAsia"/>
          <w:sz w:val="28"/>
          <w:szCs w:val="28"/>
        </w:rPr>
        <w:br/>
        <w:t xml:space="preserve">21. 劳动力流动 </w:t>
      </w:r>
      <w:r>
        <w:rPr>
          <w:rFonts w:ascii="宋体" w:eastAsia="宋体" w:hAnsi="宋体" w:hint="eastAsia"/>
          <w:sz w:val="28"/>
          <w:szCs w:val="28"/>
        </w:rPr>
        <w:br/>
        <w:t>21.1劳动力流动概述</w:t>
      </w:r>
    </w:p>
    <w:p w14:paraId="0DCACFA5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21.2劳动力流动模型</w:t>
      </w:r>
    </w:p>
    <w:p w14:paraId="388CAC1B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21.3劳动力流动的成因、实现条件和影响因素</w:t>
      </w:r>
    </w:p>
    <w:p w14:paraId="07B3665F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21.4劳动力流动的效用</w:t>
      </w:r>
    </w:p>
    <w:p w14:paraId="086B06D5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21.5劳动力流动的合理化</w:t>
      </w:r>
    </w:p>
    <w:p w14:paraId="0CF1D553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22. 劳动力市场歧视 </w:t>
      </w:r>
    </w:p>
    <w:p w14:paraId="3491909E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22.1劳动力市场歧视概述</w:t>
      </w:r>
    </w:p>
    <w:p w14:paraId="4F65D178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22.2劳动力市场歧视模型</w:t>
      </w:r>
    </w:p>
    <w:p w14:paraId="1021BACB" w14:textId="77777777" w:rsidR="00BF5CA9" w:rsidRDefault="00000000">
      <w:pPr>
        <w:spacing w:line="44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22.3中国劳动力市场歧视问题</w:t>
      </w:r>
      <w:r>
        <w:rPr>
          <w:rFonts w:ascii="宋体" w:eastAsia="宋体" w:hAnsi="宋体" w:hint="eastAsia"/>
          <w:sz w:val="28"/>
          <w:szCs w:val="28"/>
        </w:rPr>
        <w:br/>
      </w:r>
    </w:p>
    <w:p w14:paraId="7907BB2F" w14:textId="77777777" w:rsidR="00BF5CA9" w:rsidRDefault="00BF5CA9">
      <w:pPr>
        <w:spacing w:line="440" w:lineRule="exact"/>
        <w:rPr>
          <w:rFonts w:ascii="宋体" w:eastAsia="宋体" w:hAnsi="宋体"/>
          <w:sz w:val="28"/>
          <w:szCs w:val="28"/>
        </w:rPr>
      </w:pPr>
    </w:p>
    <w:p w14:paraId="38A4F82E" w14:textId="77777777" w:rsidR="00BF5CA9" w:rsidRDefault="00BF5CA9">
      <w:pPr>
        <w:spacing w:line="440" w:lineRule="exact"/>
        <w:rPr>
          <w:rFonts w:ascii="宋体" w:eastAsia="宋体" w:hAnsi="宋体"/>
          <w:sz w:val="28"/>
          <w:szCs w:val="28"/>
        </w:rPr>
      </w:pPr>
    </w:p>
    <w:p w14:paraId="2BD1CB2A" w14:textId="77777777" w:rsidR="00BF5CA9" w:rsidRDefault="00BF5CA9">
      <w:pPr>
        <w:rPr>
          <w:rFonts w:ascii="宋体" w:eastAsia="宋体" w:hAnsi="宋体"/>
          <w:sz w:val="28"/>
          <w:szCs w:val="28"/>
        </w:rPr>
      </w:pPr>
    </w:p>
    <w:p w14:paraId="2A6BC48E" w14:textId="77777777" w:rsidR="00BF5CA9" w:rsidRDefault="00BF5CA9">
      <w:pPr>
        <w:rPr>
          <w:rFonts w:ascii="宋体" w:eastAsia="宋体" w:hAnsi="宋体"/>
          <w:sz w:val="28"/>
          <w:szCs w:val="28"/>
        </w:rPr>
      </w:pPr>
    </w:p>
    <w:sectPr w:rsidR="00BF5C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jk1NDU2MmQ5ZWY1NjMyYTc2MGU3MGFmOWNiMjBjODcifQ=="/>
  </w:docVars>
  <w:rsids>
    <w:rsidRoot w:val="00232963"/>
    <w:rsid w:val="00027BA8"/>
    <w:rsid w:val="00232963"/>
    <w:rsid w:val="002564A8"/>
    <w:rsid w:val="002E0B63"/>
    <w:rsid w:val="002E6F80"/>
    <w:rsid w:val="0030510F"/>
    <w:rsid w:val="00381A2F"/>
    <w:rsid w:val="003D06F9"/>
    <w:rsid w:val="003E3CEE"/>
    <w:rsid w:val="00453288"/>
    <w:rsid w:val="00534CA7"/>
    <w:rsid w:val="00590651"/>
    <w:rsid w:val="006E115A"/>
    <w:rsid w:val="0071100E"/>
    <w:rsid w:val="007B25EC"/>
    <w:rsid w:val="008100FD"/>
    <w:rsid w:val="00871A99"/>
    <w:rsid w:val="008F7544"/>
    <w:rsid w:val="00911ECF"/>
    <w:rsid w:val="009347AE"/>
    <w:rsid w:val="009B08F8"/>
    <w:rsid w:val="009C15E4"/>
    <w:rsid w:val="009D2348"/>
    <w:rsid w:val="00A21C74"/>
    <w:rsid w:val="00BF5CA9"/>
    <w:rsid w:val="00C27EFF"/>
    <w:rsid w:val="00CE56FA"/>
    <w:rsid w:val="00D66D6C"/>
    <w:rsid w:val="00DA0110"/>
    <w:rsid w:val="00F0519D"/>
    <w:rsid w:val="025A0E1C"/>
    <w:rsid w:val="7A79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BF589"/>
  <w15:docId w15:val="{B83C8AE7-BFAB-4A88-AB83-9AA4CFFA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23</cp:revision>
  <cp:lastPrinted>2022-09-22T03:42:00Z</cp:lastPrinted>
  <dcterms:created xsi:type="dcterms:W3CDTF">2019-07-10T08:21:00Z</dcterms:created>
  <dcterms:modified xsi:type="dcterms:W3CDTF">2022-09-22T03:42:00Z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56BC86007F4D4E158345F5120D9796E5</vt:lpwstr>
  </property>
</Properties>
</file>