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>3043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分析化学前沿领域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widowControl/>
        <w:spacing w:line="360" w:lineRule="auto"/>
        <w:jc w:val="left"/>
        <w:outlineLvl w:val="1"/>
        <w:rPr>
          <w:rStyle w:val="14"/>
          <w:rFonts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>1.  分析化学已发展到分析科学阶段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§1.1  分析化学研究什么特殊矛盾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§1.2  分析化学三要素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§1.3  分析化学的发展规律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§1.4  分析化学已经发展到分析科学阶段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2.  21世纪分析化学展望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§2.1  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§2.2  仪器分析和分析科学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§2.3  现代分析化学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§2.4  21世纪社会和科技发展都需要分析化学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§2.5  21世纪分析化学展望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3.  分析化学的信息与化学计量学的发展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§3.1  科学技术发展的信息化趋势：分析化学与化学计量学的关系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§3.2  采样、试验设计与优化——获取化学信息的起点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§3.3  化学量测数据的校正与分辨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§3.4  化学计量学方法的稳健化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§3.5  人工神经网络等用于非线性校正、化学模式识别及构效关系等研究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§3.6  化学计量学教学及其它</w:t>
      </w:r>
    </w:p>
    <w:p>
      <w:pPr>
        <w:widowControl/>
        <w:spacing w:line="360" w:lineRule="auto"/>
        <w:jc w:val="left"/>
        <w:outlineLvl w:val="1"/>
        <w:rPr>
          <w:rStyle w:val="14"/>
          <w:rFonts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>4.  展望21世纪的分析科学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§4.1  总目标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§4.2  灵敏度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§4.3  检测原理、技术及分析仪器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5.  原子光谱分析法的最新进展和发展趋势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§5.1  辐射源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§5.2  激发光源、原子化器和离子化源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§5.3  波长选择系统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§5.4  检测系统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§5.5  质量分析器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§5.6  样品引入系统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§5.7  原子光谱法的发展趋势</w:t>
      </w:r>
    </w:p>
    <w:p>
      <w:pPr>
        <w:widowControl/>
        <w:spacing w:line="360" w:lineRule="auto"/>
        <w:jc w:val="left"/>
        <w:outlineLvl w:val="1"/>
        <w:rPr>
          <w:rStyle w:val="14"/>
          <w:rFonts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 xml:space="preserve">6.  近代电分析化学的发展 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§6.1  电分析化学方法的进展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§6.2  交叉学科联用技术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§6.3  在生命科学中的研究与应用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7.  面临新世纪的流动分析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§7.1  作</w:t>
      </w:r>
      <w:r>
        <w:rPr>
          <w:rStyle w:val="14"/>
          <w:rFonts w:hint="eastAsia" w:ascii="宋体" w:hAnsi="宋体" w:eastAsia="宋体" w:cs="宋体"/>
          <w:sz w:val="24"/>
          <w:szCs w:val="24"/>
          <w:highlight w:val="none"/>
        </w:rPr>
        <w:t>为高效引入及处理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t>手段的流动分析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§7.2  作为联用界面(接口)的流动分析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§7.3  流动分析的微型化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§7.4  可更新反应表面的流动分析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§7.5  过程监测流动分析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§7.6  流动分析教学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8.  激光分析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§8.1  激光拉曼光谱分析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§8.2  激光诱导荧光光谱分析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§8.3  激光光声光谱分析和激光光热光谱分析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§8.4  激光电离光谱分析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§8.5  其它激光分析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9.  现代近红外光谱分析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§9.1  近红外光谱分析的发展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§9.2  近红外光谱的产生、测定原理及特点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§9.3  近红外光谱仪器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§9.4  近红外光谱定性、定理方法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§9.5  现代近红外光谱分析的应用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10.  紫外-可见分光光度分析的现状和展望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§10.1  试剂和反应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§10.2  分析和分离技术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§10.3  信号及数据处理技术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§10.4  光度分析装置和仪器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11. 毛细管电泳展望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§11.1  毛细管电泳的兴起与发展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§11.2  毛细管电泳基本原理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§11.3  毛细管电泳分离模式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§11.4  毛细管电泳柱技术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§11.5  毛细管电泳检测技术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§11.6  毛细管电泳的一些发展动向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§11.7  21世纪毛细管电泳发展趋势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12.  生物质谱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§12.</w:t>
      </w:r>
      <w:r>
        <w:rPr>
          <w:rStyle w:val="14"/>
          <w:rFonts w:ascii="宋体" w:hAnsi="宋体" w:eastAsia="宋体" w:cs="宋体"/>
          <w:sz w:val="24"/>
          <w:szCs w:val="24"/>
        </w:rPr>
        <w:t>1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多肽和蛋白质质谱分析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§12.</w:t>
      </w:r>
      <w:r>
        <w:rPr>
          <w:rStyle w:val="14"/>
          <w:rFonts w:ascii="宋体" w:hAnsi="宋体" w:eastAsia="宋体" w:cs="宋体"/>
          <w:sz w:val="24"/>
          <w:szCs w:val="24"/>
        </w:rPr>
        <w:t>2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Style w:val="14"/>
          <w:rFonts w:ascii="宋体" w:hAnsi="宋体" w:eastAsia="宋体" w:cs="宋体"/>
          <w:sz w:val="24"/>
          <w:szCs w:val="24"/>
        </w:rPr>
        <w:t xml:space="preserve"> </w:t>
      </w:r>
      <w:r>
        <w:rPr>
          <w:rStyle w:val="14"/>
          <w:rFonts w:hint="eastAsia" w:ascii="宋体" w:hAnsi="宋体" w:eastAsia="宋体" w:cs="宋体"/>
          <w:sz w:val="24"/>
          <w:szCs w:val="24"/>
        </w:rPr>
        <w:t>核酸质谱分析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§12.</w:t>
      </w:r>
      <w:r>
        <w:rPr>
          <w:rStyle w:val="14"/>
          <w:rFonts w:ascii="宋体" w:hAnsi="宋体" w:eastAsia="宋体" w:cs="宋体"/>
          <w:sz w:val="24"/>
          <w:szCs w:val="24"/>
        </w:rPr>
        <w:t>3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糖类质谱分析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13.  复杂样品的分离分析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§13.1  复杂样品分析的基本思路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§13.2  复杂样品组成的多模式多柱色谱及联用技术的综合分离分析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§13.3  复杂样品分析的理论基础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§13.4  在中药一控制中的应用</w:t>
      </w:r>
    </w:p>
    <w:p>
      <w:pPr>
        <w:widowControl/>
        <w:spacing w:line="360" w:lineRule="auto"/>
        <w:jc w:val="left"/>
        <w:outlineLvl w:val="1"/>
        <w:rPr>
          <w:rStyle w:val="14"/>
          <w:rFonts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>14.  人类基因组和脱氧核糖核酸序列分析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1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人类基因组研究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2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人类基因组研究对DNA测序要求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3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DNA序列分析进展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4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医学应用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15.  生命科学与电分析化学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§15.1  卟啉、金属卟啉的电化学分析研究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§15.2  生物自</w:t>
      </w:r>
      <w:r>
        <w:rPr>
          <w:rStyle w:val="14"/>
          <w:rFonts w:hint="eastAsia" w:ascii="宋体" w:hAnsi="宋体" w:eastAsia="宋体" w:cs="宋体"/>
          <w:sz w:val="24"/>
          <w:szCs w:val="24"/>
          <w:highlight w:val="none"/>
        </w:rPr>
        <w:t>组装膜的模拟和电化学行为</w:t>
      </w:r>
      <w:r>
        <w:rPr>
          <w:rStyle w:val="14"/>
          <w:rFonts w:hint="eastAsia" w:ascii="宋体" w:hAnsi="宋体" w:eastAsia="宋体" w:cs="宋体"/>
          <w:sz w:val="24"/>
          <w:szCs w:val="24"/>
          <w:highlight w:val="none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  <w:highlight w:val="none"/>
        </w:rPr>
        <w:t xml:space="preserve">    §15.3  酶催化功能和微金属元素的作用</w:t>
      </w:r>
      <w:r>
        <w:rPr>
          <w:rStyle w:val="14"/>
          <w:rFonts w:hint="eastAsia" w:ascii="宋体" w:hAnsi="宋体" w:eastAsia="宋体" w:cs="宋体"/>
          <w:sz w:val="24"/>
          <w:szCs w:val="24"/>
          <w:highlight w:val="none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  <w:highlight w:val="none"/>
        </w:rPr>
        <w:t>16.  超分子电分析化学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highlight w:val="none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§16.1  超分子化学的基本性质</w:t>
      </w:r>
    </w:p>
    <w:p>
      <w:pPr>
        <w:widowControl/>
        <w:spacing w:line="360" w:lineRule="auto"/>
        <w:jc w:val="left"/>
        <w:outlineLvl w:val="1"/>
        <w:rPr>
          <w:rFonts w:ascii="宋体" w:hAnsi="宋体" w:eastAsia="宋体" w:cs="宋体"/>
          <w:sz w:val="24"/>
          <w:szCs w:val="24"/>
        </w:rPr>
      </w:pP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§16.2  超分子分析化学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§16.3  超分子电分析化学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17.  细胞生物电化学分析研究进展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§17.1  细胞电化学分析基本原理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§17.2  细胞与染料分子之间的能量传递及其在生化分析中的应用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§17.3  细胞介电行为及其在生化分析中的应用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§17.4  细胞电化学阻抗行为及其在生化分析中的应用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§17.5  细胞电化学氧化行为及其在生化分析中的应用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§17.6  细胞光电化学行为及其在生化分析中的应用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§17.7  电磁场作用下的细胞生物、生理行为分析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18.  生物传感器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§18.1  生物传感器研究动态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§18.2  生物传感器原理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§18.3  生物传感器分类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§18.4  结语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19.  光导纤维生物传感器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§19.1  光导纤维生物传感器的结构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§19.2  光导纤维生物传感器的分类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20.  压电化学与生物传感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§20.1  传感原理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§20.2  血液流变学压电传感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§20.3  嗅敏与其它仿生传感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§20.4  酶、免疫与其它生物传感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§20.5  压电传感器用于物理化学过程研究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§20.6  压电液相化学分析技术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§20.7  发展展望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21.  生物传感器在军事医学中的发展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§21.1  生物传感器的原理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§21.2  酶传感器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§21.3  抗体和受体传感器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§21.4  基因传感器与基因芯片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22.  小分子发光免疫分析及其进展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§22.1  抗原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§22.2  抗体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§22.3  抗原-抗体反应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§22.4  非标记免疫分析和标记免疫分析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§22.5  免疫分析的热点和趋势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23.  生物分析化学中新试剂的进展与展望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§23.1  大环化合物超分子分析试剂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§23.2  非大环的试剂的探针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§23.3  酶法分析试剂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§23.4  免疫分析试剂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§23.5  其它试剂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24.  药物分析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§24.1  药典与分析方法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§24.2  新药研究与开发中的药物分析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§24.3  药物分析方法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§24.4  药物代谢研究中的分析工作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§24.5  手性药物的分离分析方法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25.  环境分析化学发展趋势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§25.1  环境分析样品前处理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§25.2  各种色谱技术的进展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§25.3  光谱、质谱和其它方面的进展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§25.4  联用技术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§25.5  与生物学科的结合促进环境分析化学的发展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§25.6  计算机的推广应用促进环境分析化学发展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§25.7  环境分析化学的质量保证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26. 熔融金属成分直接分析现状及展望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§26.1  浸入(熔体)式探头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§26.2  熔体直接激发光谱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§26.3  试样引出-等离子体光谱法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27.  环糊精及其衍生物作为分析增效试剂的发展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§27.1  理论研究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§27.2  衍生物的制备及问题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§27.3  用于分析的增效试剂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§27.4  两大热点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§27.5  用于CE的环糊精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§27.6  对映体分离原理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§27.7  CE的模式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002794"/>
    <w:rsid w:val="000556E8"/>
    <w:rsid w:val="000A3030"/>
    <w:rsid w:val="00110BC3"/>
    <w:rsid w:val="001B25C3"/>
    <w:rsid w:val="002B3F51"/>
    <w:rsid w:val="00327097"/>
    <w:rsid w:val="00340A29"/>
    <w:rsid w:val="0037208B"/>
    <w:rsid w:val="003C11B4"/>
    <w:rsid w:val="003F18C2"/>
    <w:rsid w:val="00493EBC"/>
    <w:rsid w:val="00540EBF"/>
    <w:rsid w:val="00581169"/>
    <w:rsid w:val="005A17F1"/>
    <w:rsid w:val="005D54AA"/>
    <w:rsid w:val="00614DD4"/>
    <w:rsid w:val="008B16D2"/>
    <w:rsid w:val="0094308B"/>
    <w:rsid w:val="009E34F0"/>
    <w:rsid w:val="009F51B1"/>
    <w:rsid w:val="00AE4C4F"/>
    <w:rsid w:val="00BC7128"/>
    <w:rsid w:val="00C61048"/>
    <w:rsid w:val="00DB5531"/>
    <w:rsid w:val="00DF1D30"/>
    <w:rsid w:val="00F431FE"/>
    <w:rsid w:val="00F56B21"/>
    <w:rsid w:val="00F82C70"/>
    <w:rsid w:val="0933051B"/>
    <w:rsid w:val="0AF26F94"/>
    <w:rsid w:val="0D0F124C"/>
    <w:rsid w:val="0F377374"/>
    <w:rsid w:val="181C088E"/>
    <w:rsid w:val="1B9973FE"/>
    <w:rsid w:val="292B4769"/>
    <w:rsid w:val="3A6F0BDF"/>
    <w:rsid w:val="3B614BDD"/>
    <w:rsid w:val="45117C26"/>
    <w:rsid w:val="45DA1BA0"/>
    <w:rsid w:val="550E5DD5"/>
    <w:rsid w:val="597C4C5C"/>
    <w:rsid w:val="74E21DD7"/>
    <w:rsid w:val="7828351F"/>
    <w:rsid w:val="7A44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样式2 Char"/>
    <w:link w:val="13"/>
    <w:qFormat/>
    <w:uiPriority w:val="0"/>
    <w:rPr>
      <w:b/>
      <w:sz w:val="24"/>
    </w:rPr>
  </w:style>
  <w:style w:type="paragraph" w:customStyle="1" w:styleId="13">
    <w:name w:val="样式2"/>
    <w:basedOn w:val="2"/>
    <w:link w:val="12"/>
    <w:qFormat/>
    <w:uiPriority w:val="0"/>
    <w:rPr>
      <w:b/>
      <w:sz w:val="24"/>
    </w:rPr>
  </w:style>
  <w:style w:type="character" w:customStyle="1" w:styleId="14">
    <w:name w:val="样式1 Char"/>
    <w:link w:val="15"/>
    <w:qFormat/>
    <w:uiPriority w:val="0"/>
  </w:style>
  <w:style w:type="paragraph" w:customStyle="1" w:styleId="15">
    <w:name w:val="样式1"/>
    <w:basedOn w:val="2"/>
    <w:link w:val="1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7FE97-64EE-4E45-B00A-43C6738380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495</Words>
  <Characters>2826</Characters>
  <Lines>23</Lines>
  <Paragraphs>6</Paragraphs>
  <TotalTime>27</TotalTime>
  <ScaleCrop>false</ScaleCrop>
  <LinksUpToDate>false</LinksUpToDate>
  <CharactersWithSpaces>3315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cp:lastPrinted>2020-11-16T06:20:00Z</cp:lastPrinted>
  <dcterms:modified xsi:type="dcterms:W3CDTF">2023-12-06T09:03:25Z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0EB394E635E14D6FB8C273038D022F0C</vt:lpwstr>
  </property>
</Properties>
</file>